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850"/>
        <w:tblGridChange w:id="0">
          <w:tblGrid>
            <w:gridCol w:w="14850"/>
          </w:tblGrid>
        </w:tblGridChange>
      </w:tblGrid>
      <w:tr>
        <w:trPr>
          <w:trHeight w:val="540" w:hRule="atLeast"/>
        </w:trPr>
        <w:tc>
          <w:tcPr>
            <w:shd w:fill="a4c2f4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360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Inquiry Investigations and Discovery Planner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Throughline: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Title of unit: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Year Level:                                 Date: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Teachers: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Nutshell description of unit: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f6b26b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Key Concepts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Bad Script" w:cs="Bad Script" w:eastAsia="Bad Script" w:hAnsi="Bad Script"/>
                <w:sz w:val="24"/>
                <w:szCs w:val="24"/>
              </w:rPr>
            </w:pPr>
            <w:r w:rsidDel="00000000" w:rsidR="00000000" w:rsidRPr="00000000">
              <w:rPr>
                <w:rFonts w:ascii="Bad Script" w:cs="Bad Script" w:eastAsia="Bad Script" w:hAnsi="Bad Script"/>
                <w:sz w:val="24"/>
                <w:szCs w:val="24"/>
                <w:rtl w:val="0"/>
              </w:rPr>
              <w:t xml:space="preserve">What key concepts from the throughline will students explore in this investigation?</w:t>
            </w:r>
          </w:p>
        </w:tc>
      </w:tr>
      <w:tr>
        <w:trPr>
          <w:trHeight w:val="5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f6b26b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Shared experience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ad Script" w:cs="Bad Script" w:eastAsia="Bad Script" w:hAnsi="Bad Script"/>
                <w:sz w:val="24"/>
                <w:szCs w:val="24"/>
                <w:rtl w:val="0"/>
              </w:rPr>
              <w:t xml:space="preserve">How will you engage students in these concepts (rich experience?) How will you gather their responses?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f6b26b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Student responses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ad Script" w:cs="Bad Script" w:eastAsia="Bad Script" w:hAnsi="Bad Script"/>
                <w:sz w:val="24"/>
                <w:szCs w:val="24"/>
                <w:rtl w:val="0"/>
              </w:rPr>
              <w:t xml:space="preserve">What were the students responses? Current ideas, misconceptions, areas of interest and wonderings.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d9d2e9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Understandings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ad Script" w:cs="Bad Script" w:eastAsia="Bad Script" w:hAnsi="Bad Script"/>
                <w:sz w:val="24"/>
                <w:szCs w:val="24"/>
                <w:rtl w:val="0"/>
              </w:rPr>
              <w:t xml:space="preserve">Using the students’ responses and the key concepts frame understandings to guide the investigation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shd w:fill="d9d2e9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Questions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ad Script" w:cs="Bad Script" w:eastAsia="Bad Script" w:hAnsi="Bad Script"/>
                <w:sz w:val="24"/>
                <w:szCs w:val="24"/>
                <w:rtl w:val="0"/>
              </w:rPr>
              <w:t xml:space="preserve">Frame questions to guide further exploration and investigation related to the understandings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d9ead3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Links to Victorian Curriculum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d9ead3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Links to Literacy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d9ead3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Links to Mathematics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shd w:fill="ead1dc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Resources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tabs>
          <w:tab w:val="left" w:pos="6781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5"/>
        <w:gridCol w:w="12495"/>
        <w:tblGridChange w:id="0">
          <w:tblGrid>
            <w:gridCol w:w="2295"/>
            <w:gridCol w:w="12495"/>
          </w:tblGrid>
        </w:tblGridChange>
      </w:tblGrid>
      <w:t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Inquiry Investigation: Learning sequence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Bad Script" w:cs="Bad Script" w:eastAsia="Bad Script" w:hAnsi="Bad Script"/>
                <w:sz w:val="24"/>
                <w:szCs w:val="24"/>
              </w:rPr>
            </w:pPr>
            <w:r w:rsidDel="00000000" w:rsidR="00000000" w:rsidRPr="00000000">
              <w:rPr>
                <w:rFonts w:ascii="Bad Script" w:cs="Bad Script" w:eastAsia="Bad Script" w:hAnsi="Bad Script"/>
                <w:sz w:val="24"/>
                <w:szCs w:val="24"/>
                <w:rtl w:val="0"/>
              </w:rPr>
              <w:t xml:space="preserve">How will you continue the flow of inquiry? What inquiry process will you use?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Bad Script" w:cs="Bad Script" w:eastAsia="Bad Script" w:hAnsi="Bad Script"/>
                <w:sz w:val="24"/>
                <w:szCs w:val="24"/>
                <w:rtl w:val="0"/>
              </w:rPr>
              <w:t xml:space="preserve">How will you support further learning through explicit links to literacy and maths?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ind w:right="-5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Timeline and focus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080" w:right="0" w:hanging="7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Learning sequence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ind w:right="-5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right="-5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right="-5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right="-5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right="-53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e599" w:val="clear"/>
          </w:tcPr>
          <w:p w:rsidR="00000000" w:rsidDel="00000000" w:rsidP="00000000" w:rsidRDefault="00000000" w:rsidRPr="00000000" w14:paraId="00000038">
            <w:pPr>
              <w:tabs>
                <w:tab w:val="left" w:pos="6781"/>
              </w:tabs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Applying the learning (Taking Action)</w:t>
            </w:r>
          </w:p>
          <w:p w:rsidR="00000000" w:rsidDel="00000000" w:rsidP="00000000" w:rsidRDefault="00000000" w:rsidRPr="00000000" w14:paraId="00000039">
            <w:pPr>
              <w:tabs>
                <w:tab w:val="left" w:pos="6781"/>
              </w:tabs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Bad Script" w:cs="Bad Script" w:eastAsia="Bad Script" w:hAnsi="Bad Script"/>
                <w:sz w:val="24"/>
                <w:szCs w:val="24"/>
                <w:rtl w:val="0"/>
              </w:rPr>
              <w:t xml:space="preserve">How will students embed learning through a practical application?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6781"/>
              </w:tabs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C">
            <w:pPr>
              <w:tabs>
                <w:tab w:val="left" w:pos="6781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3D">
            <w:pPr>
              <w:tabs>
                <w:tab w:val="left" w:pos="6781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6781"/>
              </w:tabs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tabs>
          <w:tab w:val="left" w:pos="6781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7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0"/>
        <w:gridCol w:w="6060"/>
        <w:gridCol w:w="7140"/>
        <w:tblGridChange w:id="0">
          <w:tblGrid>
            <w:gridCol w:w="1530"/>
            <w:gridCol w:w="6060"/>
            <w:gridCol w:w="7140"/>
          </w:tblGrid>
        </w:tblGridChange>
      </w:tblGrid>
      <w:tr>
        <w:tc>
          <w:tcPr>
            <w:gridSpan w:val="3"/>
            <w:shd w:fill="b2a1c7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DISCOVERY PLANNER</w:t>
            </w:r>
          </w:p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Bad Script" w:cs="Bad Script" w:eastAsia="Bad Script" w:hAnsi="Bad Script"/>
                <w:sz w:val="24"/>
                <w:szCs w:val="24"/>
                <w:rtl w:val="0"/>
              </w:rPr>
              <w:t xml:space="preserve">Opportunities to further explore concepts from Inquiry investigation or other learning areas, student interests, local, community and current events.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fe599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Learning Focus for introductions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Learning: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Social Interaction: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Personal Management: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Oral Language: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shd w:fill="ffe599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Session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Focus for Introductions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Focus for Share time</w:t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tabs>
          <w:tab w:val="left" w:pos="6781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6781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6781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6781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93"/>
        <w:gridCol w:w="7393"/>
        <w:tblGridChange w:id="0">
          <w:tblGrid>
            <w:gridCol w:w="7393"/>
            <w:gridCol w:w="7393"/>
          </w:tblGrid>
        </w:tblGridChange>
      </w:tblGrid>
      <w:tr>
        <w:trPr>
          <w:trHeight w:val="280" w:hRule="atLeast"/>
        </w:trPr>
        <w:tc>
          <w:tcPr>
            <w:gridSpan w:val="2"/>
            <w:shd w:fill="d99594" w:val="clear"/>
          </w:tcPr>
          <w:p w:rsidR="00000000" w:rsidDel="00000000" w:rsidP="00000000" w:rsidRDefault="00000000" w:rsidRPr="00000000" w14:paraId="00000072">
            <w:pPr>
              <w:tabs>
                <w:tab w:val="left" w:pos="6781"/>
              </w:tabs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Discovery Considerations</w:t>
            </w:r>
          </w:p>
        </w:tc>
      </w:tr>
      <w:tr>
        <w:tc>
          <w:tcPr>
            <w:shd w:fill="d99594" w:val="clear"/>
          </w:tcPr>
          <w:p w:rsidR="00000000" w:rsidDel="00000000" w:rsidP="00000000" w:rsidRDefault="00000000" w:rsidRPr="00000000" w14:paraId="00000074">
            <w:pPr>
              <w:tabs>
                <w:tab w:val="left" w:pos="6781"/>
              </w:tabs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Criteria for Discovery</w:t>
            </w:r>
          </w:p>
        </w:tc>
        <w:tc>
          <w:tcPr>
            <w:shd w:fill="d99594" w:val="clear"/>
          </w:tcPr>
          <w:p w:rsidR="00000000" w:rsidDel="00000000" w:rsidP="00000000" w:rsidRDefault="00000000" w:rsidRPr="00000000" w14:paraId="00000075">
            <w:pPr>
              <w:tabs>
                <w:tab w:val="left" w:pos="6781"/>
              </w:tabs>
              <w:spacing w:after="0" w:line="24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Criteria for each area/station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tabs>
                <w:tab w:val="left" w:pos="6781"/>
              </w:tabs>
              <w:spacing w:after="0" w:line="240" w:lineRule="auto"/>
              <w:ind w:left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Engages different types of learners (Multiple intelligences/VAK)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tabs>
                <w:tab w:val="left" w:pos="6781"/>
              </w:tabs>
              <w:spacing w:after="0" w:line="240" w:lineRule="auto"/>
              <w:ind w:left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Make authentic links to literacy and mathematics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tabs>
                <w:tab w:val="left" w:pos="6781"/>
              </w:tabs>
              <w:spacing w:after="0" w:line="240" w:lineRule="auto"/>
              <w:ind w:left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Opportunities for indoor and outdoor play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2"/>
              </w:numPr>
              <w:tabs>
                <w:tab w:val="left" w:pos="6781"/>
              </w:tabs>
              <w:spacing w:after="0" w:line="240" w:lineRule="auto"/>
              <w:ind w:left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Balance between student interests and links to curriculum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tabs>
                <w:tab w:val="left" w:pos="6781"/>
              </w:tabs>
              <w:spacing w:after="0" w:line="240" w:lineRule="auto"/>
              <w:ind w:left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Opportunities to;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1"/>
                <w:numId w:val="2"/>
              </w:numPr>
              <w:tabs>
                <w:tab w:val="left" w:pos="6781"/>
              </w:tabs>
              <w:spacing w:after="0" w:line="240" w:lineRule="auto"/>
              <w:ind w:left="108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 creative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1"/>
                <w:numId w:val="2"/>
              </w:numPr>
              <w:tabs>
                <w:tab w:val="left" w:pos="6781"/>
              </w:tabs>
              <w:spacing w:after="0" w:line="240" w:lineRule="auto"/>
              <w:ind w:left="108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solve problems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1"/>
                <w:numId w:val="2"/>
              </w:numPr>
              <w:tabs>
                <w:tab w:val="left" w:pos="6781"/>
              </w:tabs>
              <w:spacing w:after="0" w:line="240" w:lineRule="auto"/>
              <w:ind w:left="108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use imagination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1"/>
                <w:numId w:val="2"/>
              </w:numPr>
              <w:tabs>
                <w:tab w:val="left" w:pos="6781"/>
              </w:tabs>
              <w:spacing w:after="0" w:line="240" w:lineRule="auto"/>
              <w:ind w:left="108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 collaborative or work alone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1"/>
                <w:numId w:val="2"/>
              </w:numPr>
              <w:tabs>
                <w:tab w:val="left" w:pos="6781"/>
              </w:tabs>
              <w:spacing w:after="0" w:line="240" w:lineRule="auto"/>
              <w:ind w:left="108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 quiet or be rowdy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1"/>
                <w:numId w:val="2"/>
              </w:numPr>
              <w:tabs>
                <w:tab w:val="left" w:pos="6781"/>
              </w:tabs>
              <w:spacing w:after="0" w:line="240" w:lineRule="auto"/>
              <w:ind w:left="108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construct and design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1"/>
                <w:numId w:val="2"/>
              </w:numPr>
              <w:tabs>
                <w:tab w:val="left" w:pos="6781"/>
              </w:tabs>
              <w:spacing w:after="0" w:line="240" w:lineRule="auto"/>
              <w:ind w:left="108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investigate or to explore new ideas,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1"/>
                <w:numId w:val="2"/>
              </w:numPr>
              <w:tabs>
                <w:tab w:val="left" w:pos="6781"/>
              </w:tabs>
              <w:spacing w:after="0" w:line="240" w:lineRule="auto"/>
              <w:ind w:left="108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try and fail and to develop resilience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numPr>
                <w:ilvl w:val="1"/>
                <w:numId w:val="2"/>
              </w:numPr>
              <w:tabs>
                <w:tab w:val="left" w:pos="6781"/>
              </w:tabs>
              <w:spacing w:after="0" w:line="240" w:lineRule="auto"/>
              <w:ind w:left="108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practise skills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1"/>
                <w:numId w:val="2"/>
              </w:numPr>
              <w:tabs>
                <w:tab w:val="left" w:pos="6781"/>
              </w:tabs>
              <w:spacing w:after="0" w:line="240" w:lineRule="auto"/>
              <w:ind w:left="108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role-play/dramatise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tabs>
                <w:tab w:val="left" w:pos="6781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3"/>
              </w:numPr>
              <w:tabs>
                <w:tab w:val="left" w:pos="6781"/>
              </w:tabs>
              <w:spacing w:after="0" w:line="24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purpose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numPr>
                <w:ilvl w:val="0"/>
                <w:numId w:val="3"/>
              </w:numPr>
              <w:tabs>
                <w:tab w:val="left" w:pos="6781"/>
              </w:tabs>
              <w:spacing w:after="0" w:line="24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Open-ended/ allows for multiple possibilities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3"/>
              </w:numPr>
              <w:tabs>
                <w:tab w:val="left" w:pos="6781"/>
              </w:tabs>
              <w:spacing w:after="0" w:line="24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Has defined spaces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3"/>
              </w:numPr>
              <w:tabs>
                <w:tab w:val="left" w:pos="6781"/>
              </w:tabs>
              <w:spacing w:after="0" w:line="24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Developmentally appropriate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3"/>
              </w:numPr>
              <w:tabs>
                <w:tab w:val="left" w:pos="6781"/>
              </w:tabs>
              <w:spacing w:after="0" w:line="24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 too much/not too little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3"/>
              </w:numPr>
              <w:tabs>
                <w:tab w:val="left" w:pos="6781"/>
              </w:tabs>
              <w:spacing w:after="0" w:line="24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Attractive and inviting to students (don’t judge on adult standards)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3"/>
              </w:numPr>
              <w:tabs>
                <w:tab w:val="left" w:pos="6781"/>
              </w:tabs>
              <w:spacing w:after="0" w:line="24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Real materials whenever possible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3"/>
              </w:numPr>
              <w:tabs>
                <w:tab w:val="left" w:pos="6781"/>
              </w:tabs>
              <w:spacing w:after="0" w:line="240" w:lineRule="auto"/>
              <w:ind w:left="720" w:hanging="36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Allows students operating at different developmental levels to engage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tabs>
                <w:tab w:val="left" w:pos="6781"/>
              </w:tabs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tabs>
                <w:tab w:val="left" w:pos="6781"/>
              </w:tabs>
              <w:spacing w:after="0" w:line="24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NB Consider the literacy and numeracy and sensory opportunities at every station and provide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strategic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tools to encourage this such as: picture story books, key vocab (co-constructed with students), paper, writing implements, clip boards, tape measures, clocks, calculators, ipads, scales, counters, </w:t>
            </w:r>
          </w:p>
        </w:tc>
      </w:tr>
    </w:tbl>
    <w:p w:rsidR="00000000" w:rsidDel="00000000" w:rsidP="00000000" w:rsidRDefault="00000000" w:rsidRPr="00000000" w14:paraId="00000090">
      <w:pPr>
        <w:tabs>
          <w:tab w:val="left" w:pos="6781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7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0"/>
        <w:gridCol w:w="3540"/>
        <w:gridCol w:w="3540"/>
        <w:gridCol w:w="4140"/>
        <w:tblGridChange w:id="0">
          <w:tblGrid>
            <w:gridCol w:w="3540"/>
            <w:gridCol w:w="3540"/>
            <w:gridCol w:w="3540"/>
            <w:gridCol w:w="4140"/>
          </w:tblGrid>
        </w:tblGridChange>
      </w:tblGrid>
      <w:tr>
        <w:tc>
          <w:tcPr>
            <w:gridSpan w:val="4"/>
            <w:shd w:fill="e5b9b7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Areas/Stations</w:t>
            </w:r>
          </w:p>
          <w:p w:rsidR="00000000" w:rsidDel="00000000" w:rsidP="00000000" w:rsidRDefault="00000000" w:rsidRPr="00000000" w14:paraId="00000092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ad Script" w:cs="Bad Script" w:eastAsia="Bad Script" w:hAnsi="Bad Script"/>
                <w:sz w:val="24"/>
                <w:szCs w:val="24"/>
                <w:rtl w:val="0"/>
              </w:rPr>
              <w:t xml:space="preserve">Consider opportunities for authentic literacy and mathematics connections at all areas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Box (junk) Construction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Role Play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Art 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Craft</w:t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Provocations:</w:t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Provocations:</w:t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Provocations: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Provocations:</w:t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Tinkering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Writing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Small world play</w:t>
            </w:r>
          </w:p>
        </w:tc>
        <w:tc>
          <w:tcPr>
            <w:shd w:fill="d7e3bc" w:val="clea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Outdoor play</w:t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Provocations:</w:t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Provocations:</w:t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Provocations:</w:t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Provocations:</w:t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ac090" w:val="clea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Provocations:</w:t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Provocations:</w:t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Provocations:</w:t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Provocations:</w:t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ac090" w:val="clea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Provocations:</w:t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Provocations:</w:t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Provocations:</w:t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Provocations:</w:t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tabs>
          <w:tab w:val="left" w:pos="6781"/>
        </w:tabs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left" w:pos="6781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 w:orient="landscape"/>
      <w:pgMar w:bottom="851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Bad Script">
    <w:embedRegular w:fontKey="{00000000-0000-0000-0000-000000000000}" r:id="rId1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DISCOVERY-BASED INQUIRY PLANNER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Deborah Vietri and Vanessa Willis 20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20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d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