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155cc"/>
          <w:sz w:val="28"/>
          <w:szCs w:val="28"/>
        </w:rPr>
      </w:pPr>
      <w:r w:rsidDel="00000000" w:rsidR="00000000" w:rsidRPr="00000000">
        <w:rPr>
          <w:b w:val="1"/>
          <w:color w:val="1155cc"/>
          <w:sz w:val="28"/>
          <w:szCs w:val="28"/>
          <w:rtl w:val="0"/>
        </w:rPr>
        <w:t xml:space="preserve">Guide to Professional Learning Module 1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4629150</wp:posOffset>
            </wp:positionH>
            <wp:positionV relativeFrom="paragraph">
              <wp:posOffset>19050</wp:posOffset>
            </wp:positionV>
            <wp:extent cx="1313781" cy="1804988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3781" cy="1804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color w:val="1155cc"/>
          <w:sz w:val="28"/>
          <w:szCs w:val="28"/>
        </w:rPr>
      </w:pPr>
      <w:r w:rsidDel="00000000" w:rsidR="00000000" w:rsidRPr="00000000">
        <w:rPr>
          <w:b w:val="1"/>
          <w:color w:val="1155cc"/>
          <w:sz w:val="28"/>
          <w:szCs w:val="28"/>
          <w:rtl w:val="0"/>
        </w:rPr>
        <w:t xml:space="preserve">PART A and PART B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38761d"/>
          <w:sz w:val="24"/>
          <w:szCs w:val="24"/>
        </w:rPr>
      </w:pPr>
      <w:r w:rsidDel="00000000" w:rsidR="00000000" w:rsidRPr="00000000">
        <w:rPr>
          <w:b w:val="1"/>
          <w:color w:val="38761d"/>
          <w:sz w:val="24"/>
          <w:szCs w:val="24"/>
          <w:rtl w:val="0"/>
        </w:rPr>
        <w:t xml:space="preserve">Why do we engage our students in Discovery Based Inquiry?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38761d"/>
          <w:sz w:val="24"/>
          <w:szCs w:val="24"/>
        </w:rPr>
      </w:pPr>
      <w:r w:rsidDel="00000000" w:rsidR="00000000" w:rsidRPr="00000000">
        <w:rPr>
          <w:b w:val="1"/>
          <w:color w:val="38761d"/>
          <w:sz w:val="24"/>
          <w:szCs w:val="24"/>
          <w:rtl w:val="0"/>
        </w:rPr>
        <w:t xml:space="preserve">How can we effectively support student learning during this time?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Through this Professional Learning Module you will explore: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color w:val="741b47"/>
          <w:sz w:val="24"/>
          <w:szCs w:val="24"/>
        </w:rPr>
      </w:pPr>
      <w:r w:rsidDel="00000000" w:rsidR="00000000" w:rsidRPr="00000000">
        <w:rPr>
          <w:color w:val="741b47"/>
          <w:sz w:val="24"/>
          <w:szCs w:val="24"/>
          <w:rtl w:val="0"/>
        </w:rPr>
        <w:t xml:space="preserve">What is Discovery Based Inquiry and why we work this way with our early years students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color w:val="741b47"/>
          <w:sz w:val="24"/>
          <w:szCs w:val="24"/>
        </w:rPr>
      </w:pPr>
      <w:r w:rsidDel="00000000" w:rsidR="00000000" w:rsidRPr="00000000">
        <w:rPr>
          <w:color w:val="741b47"/>
          <w:sz w:val="24"/>
          <w:szCs w:val="24"/>
          <w:rtl w:val="0"/>
        </w:rPr>
        <w:t xml:space="preserve">Our guiding principles and how these inform our approach to learning in Discovery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color w:val="741b47"/>
          <w:sz w:val="24"/>
          <w:szCs w:val="24"/>
        </w:rPr>
      </w:pPr>
      <w:r w:rsidDel="00000000" w:rsidR="00000000" w:rsidRPr="00000000">
        <w:rPr>
          <w:color w:val="741b47"/>
          <w:sz w:val="24"/>
          <w:szCs w:val="24"/>
          <w:rtl w:val="0"/>
        </w:rPr>
        <w:t xml:space="preserve">What students might be doing during Discovery and how we can support this learning effectively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color w:val="741b47"/>
          <w:sz w:val="24"/>
          <w:szCs w:val="24"/>
        </w:rPr>
      </w:pPr>
      <w:r w:rsidDel="00000000" w:rsidR="00000000" w:rsidRPr="00000000">
        <w:rPr>
          <w:color w:val="741b47"/>
          <w:sz w:val="24"/>
          <w:szCs w:val="24"/>
          <w:rtl w:val="0"/>
        </w:rPr>
        <w:t xml:space="preserve">The strategic roles adults can take during Discovery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color w:val="741b47"/>
          <w:sz w:val="24"/>
          <w:szCs w:val="24"/>
        </w:rPr>
      </w:pPr>
      <w:r w:rsidDel="00000000" w:rsidR="00000000" w:rsidRPr="00000000">
        <w:rPr>
          <w:color w:val="741b47"/>
          <w:sz w:val="24"/>
          <w:szCs w:val="24"/>
          <w:rtl w:val="0"/>
        </w:rPr>
        <w:t xml:space="preserve">Learning conversations and their features and how we can effectively use learning conversations during Discovery 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you will need: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color w:val="bf9000"/>
          <w:sz w:val="24"/>
          <w:szCs w:val="24"/>
        </w:rPr>
      </w:pPr>
      <w:r w:rsidDel="00000000" w:rsidR="00000000" w:rsidRPr="00000000">
        <w:rPr>
          <w:color w:val="bf9000"/>
          <w:sz w:val="24"/>
          <w:szCs w:val="24"/>
          <w:rtl w:val="0"/>
        </w:rPr>
        <w:t xml:space="preserve">Access to the handouts that were provided</w:t>
      </w:r>
    </w:p>
    <w:p w:rsidR="00000000" w:rsidDel="00000000" w:rsidP="00000000" w:rsidRDefault="00000000" w:rsidRPr="00000000" w14:paraId="00000015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0.0" w:type="dxa"/>
        <w:jc w:val="left"/>
        <w:tblInd w:w="22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tblGridChange w:id="0">
          <w:tblGrid>
            <w:gridCol w:w="3600"/>
            <w:gridCol w:w="36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bf9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bf9000"/>
                <w:sz w:val="24"/>
                <w:szCs w:val="24"/>
                <w:rtl w:val="0"/>
              </w:rPr>
              <w:t xml:space="preserve">Part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bf9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bf9000"/>
                <w:sz w:val="24"/>
                <w:szCs w:val="24"/>
                <w:rtl w:val="0"/>
              </w:rPr>
              <w:t xml:space="preserve">Part 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bf9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f9000"/>
                <w:sz w:val="24"/>
                <w:szCs w:val="24"/>
                <w:rtl w:val="0"/>
              </w:rPr>
              <w:t xml:space="preserve">Reflection Sheet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bf9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bf9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f9000"/>
                <w:sz w:val="24"/>
                <w:szCs w:val="24"/>
                <w:rtl w:val="0"/>
              </w:rPr>
              <w:t xml:space="preserve">Copy of Transcript - Boys Playing with Cars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i w:val="1"/>
                <w:color w:val="bf9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f9000"/>
                <w:sz w:val="24"/>
                <w:szCs w:val="24"/>
                <w:rtl w:val="0"/>
              </w:rPr>
              <w:t xml:space="preserve">Reflection Sheet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i w:val="1"/>
                <w:color w:val="bf9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i w:val="1"/>
                <w:color w:val="bf9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f9000"/>
                <w:sz w:val="24"/>
                <w:szCs w:val="24"/>
                <w:rtl w:val="0"/>
              </w:rPr>
              <w:t xml:space="preserve">Reading - Questions for Learning Conversations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i w:val="1"/>
                <w:color w:val="bf9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i w:val="1"/>
                <w:color w:val="bf9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f9000"/>
                <w:sz w:val="24"/>
                <w:szCs w:val="24"/>
                <w:rtl w:val="0"/>
              </w:rPr>
              <w:t xml:space="preserve">Between Module Activity - SMART Goal Setting Scaffold</w:t>
            </w:r>
          </w:p>
        </w:tc>
      </w:tr>
    </w:tbl>
    <w:p w:rsidR="00000000" w:rsidDel="00000000" w:rsidP="00000000" w:rsidRDefault="00000000" w:rsidRPr="00000000" w14:paraId="00000020">
      <w:pPr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color w:val="bf9000"/>
          <w:sz w:val="24"/>
          <w:szCs w:val="24"/>
        </w:rPr>
      </w:pPr>
      <w:r w:rsidDel="00000000" w:rsidR="00000000" w:rsidRPr="00000000">
        <w:rPr>
          <w:color w:val="bf9000"/>
          <w:sz w:val="24"/>
          <w:szCs w:val="24"/>
          <w:rtl w:val="0"/>
        </w:rPr>
        <w:t xml:space="preserve">Time to reflect and discuss with colleagues </w:t>
      </w:r>
    </w:p>
    <w:p w:rsidR="00000000" w:rsidDel="00000000" w:rsidP="00000000" w:rsidRDefault="00000000" w:rsidRPr="00000000" w14:paraId="00000022">
      <w:pPr>
        <w:rPr>
          <w:color w:val="bf9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contact Deb or Vanessa if you have any problems accessing the Module</w:t>
      </w:r>
    </w:p>
    <w:p w:rsidR="00000000" w:rsidDel="00000000" w:rsidP="00000000" w:rsidRDefault="00000000" w:rsidRPr="00000000" w14:paraId="00000024">
      <w:pPr>
        <w:jc w:val="center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vanessawillis06@gmail.com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dvietri@bigpond.com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32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320" w:lineRule="auto"/>
        <w:rPr>
          <w:color w:val="cc0000"/>
          <w:sz w:val="28"/>
          <w:szCs w:val="28"/>
        </w:rPr>
      </w:pPr>
      <w:r w:rsidDel="00000000" w:rsidR="00000000" w:rsidRPr="00000000">
        <w:rPr>
          <w:color w:val="cc0000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2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anessawillis06@gmail.com" TargetMode="External"/><Relationship Id="rId8" Type="http://schemas.openxmlformats.org/officeDocument/2006/relationships/hyperlink" Target="mailto:dvietri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