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8"/>
        <w:gridCol w:w="7717"/>
        <w:tblGridChange w:id="0">
          <w:tblGrid>
            <w:gridCol w:w="2348"/>
            <w:gridCol w:w="7717"/>
          </w:tblGrid>
        </w:tblGridChange>
      </w:tblGrid>
      <w:tr>
        <w:tc>
          <w:tcPr>
            <w:gridSpan w:val="2"/>
          </w:tcPr>
          <w:p w:rsidR="00000000" w:rsidDel="00000000" w:rsidP="00000000" w:rsidRDefault="00000000" w:rsidRPr="00000000" w14:paraId="00000002">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ind w:left="-108"/>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***Unit title***</w:t>
            </w:r>
          </w:p>
          <w:p w:rsidR="00000000" w:rsidDel="00000000" w:rsidP="00000000" w:rsidRDefault="00000000" w:rsidRPr="00000000" w14:paraId="00000004">
            <w:pPr>
              <w:rPr>
                <w:b w:val="1"/>
                <w:sz w:val="32"/>
                <w:szCs w:val="32"/>
              </w:rPr>
            </w:pPr>
            <w:r w:rsidDel="00000000" w:rsidR="00000000" w:rsidRPr="00000000">
              <w:rPr>
                <w:rtl w:val="0"/>
              </w:rPr>
            </w:r>
          </w:p>
        </w:tc>
      </w:tr>
      <w:tr>
        <w:tc>
          <w:tcPr>
            <w:gridSpan w:val="2"/>
          </w:tcPr>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Year Level:</w:t>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Time frame:</w:t>
            </w:r>
          </w:p>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Teachers:</w:t>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Nutshell Description of Topic: </w:t>
            </w:r>
          </w:p>
          <w:p w:rsidR="00000000" w:rsidDel="00000000" w:rsidP="00000000" w:rsidRDefault="00000000" w:rsidRPr="00000000" w14:paraId="0000000D">
            <w:pPr>
              <w:rPr>
                <w:rFonts w:ascii="Arial" w:cs="Arial" w:eastAsia="Arial" w:hAnsi="Arial"/>
                <w:i w:val="1"/>
                <w:color w:val="ff0000"/>
              </w:rPr>
            </w:pPr>
            <w:r w:rsidDel="00000000" w:rsidR="00000000" w:rsidRPr="00000000">
              <w:rPr>
                <w:rFonts w:ascii="Arial" w:cs="Arial" w:eastAsia="Arial" w:hAnsi="Arial"/>
                <w:i w:val="1"/>
                <w:color w:val="ff0000"/>
                <w:rtl w:val="0"/>
              </w:rPr>
              <w:t xml:space="preserve">The nutshell description informs others about the focus of the inquiry in a ‘snapshot’. </w:t>
            </w:r>
          </w:p>
          <w:p w:rsidR="00000000" w:rsidDel="00000000" w:rsidP="00000000" w:rsidRDefault="00000000" w:rsidRPr="00000000" w14:paraId="0000000E">
            <w:pPr>
              <w:rPr>
                <w:rFonts w:ascii="Arial" w:cs="Arial" w:eastAsia="Arial" w:hAnsi="Arial"/>
                <w:b w:val="1"/>
              </w:rPr>
            </w:pPr>
            <w:r w:rsidDel="00000000" w:rsidR="00000000" w:rsidRPr="00000000">
              <w:rPr>
                <w:rtl w:val="0"/>
              </w:rPr>
            </w:r>
          </w:p>
        </w:tc>
      </w:tr>
      <w:tr>
        <w:tc>
          <w:tcPr/>
          <w:p w:rsidR="00000000" w:rsidDel="00000000" w:rsidP="00000000" w:rsidRDefault="00000000" w:rsidRPr="00000000" w14:paraId="00000010">
            <w:pPr>
              <w:rPr/>
            </w:pPr>
            <w:r w:rsidDel="00000000" w:rsidR="00000000" w:rsidRPr="00000000">
              <w:rPr>
                <w:rFonts w:ascii="Arial" w:cs="Arial" w:eastAsia="Arial" w:hAnsi="Arial"/>
                <w:b w:val="1"/>
                <w:rtl w:val="0"/>
              </w:rPr>
              <w:t xml:space="preserve">Key Concepts</w:t>
            </w:r>
            <w:r w:rsidDel="00000000" w:rsidR="00000000" w:rsidRPr="00000000">
              <w:rPr>
                <w:rtl w:val="0"/>
              </w:rPr>
            </w:r>
          </w:p>
        </w:tc>
        <w:tc>
          <w:tcPr/>
          <w:p w:rsidR="00000000" w:rsidDel="00000000" w:rsidP="00000000" w:rsidRDefault="00000000" w:rsidRPr="00000000" w14:paraId="00000011">
            <w:pPr>
              <w:rPr>
                <w:rFonts w:ascii="Arial" w:cs="Arial" w:eastAsia="Arial" w:hAnsi="Arial"/>
                <w:i w:val="1"/>
                <w:color w:val="ff0000"/>
              </w:rPr>
            </w:pPr>
            <w:r w:rsidDel="00000000" w:rsidR="00000000" w:rsidRPr="00000000">
              <w:rPr>
                <w:rFonts w:ascii="Arial" w:cs="Arial" w:eastAsia="Arial" w:hAnsi="Arial"/>
                <w:i w:val="1"/>
                <w:color w:val="ff0000"/>
                <w:rtl w:val="0"/>
              </w:rPr>
              <w:t xml:space="preserve">No more than 4 key concepts (timeless, universal, mental constructs, transferable across contexts eg: change, diversity, past/present/future, perspectives, energy, sustainability etc)</w:t>
            </w:r>
          </w:p>
          <w:p w:rsidR="00000000" w:rsidDel="00000000" w:rsidP="00000000" w:rsidRDefault="00000000" w:rsidRPr="00000000" w14:paraId="00000012">
            <w:pPr>
              <w:rPr/>
            </w:pPr>
            <w:r w:rsidDel="00000000" w:rsidR="00000000" w:rsidRPr="00000000">
              <w:rPr>
                <w:rtl w:val="0"/>
              </w:rPr>
            </w:r>
          </w:p>
        </w:tc>
      </w:tr>
      <w:tr>
        <w:tc>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Understandings</w:t>
            </w:r>
          </w:p>
          <w:p w:rsidR="00000000" w:rsidDel="00000000" w:rsidP="00000000" w:rsidRDefault="00000000" w:rsidRPr="00000000" w14:paraId="00000014">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5">
            <w:pPr>
              <w:rPr>
                <w:rFonts w:ascii="Arial" w:cs="Arial" w:eastAsia="Arial" w:hAnsi="Arial"/>
                <w:i w:val="1"/>
                <w:color w:val="ff0000"/>
              </w:rPr>
            </w:pPr>
            <w:r w:rsidDel="00000000" w:rsidR="00000000" w:rsidRPr="00000000">
              <w:rPr>
                <w:rFonts w:ascii="Arial" w:cs="Arial" w:eastAsia="Arial" w:hAnsi="Arial"/>
                <w:i w:val="1"/>
                <w:color w:val="ff0000"/>
                <w:rtl w:val="0"/>
              </w:rPr>
              <w:t xml:space="preserve">Use 2 or more key concepts in a statement of understanding. Understandings guide teachers in their planning ie: learning experiences are planned to lead students towards understandings. </w:t>
            </w:r>
          </w:p>
          <w:p w:rsidR="00000000" w:rsidDel="00000000" w:rsidP="00000000" w:rsidRDefault="00000000" w:rsidRPr="00000000" w14:paraId="00000016">
            <w:pPr>
              <w:rPr>
                <w:rFonts w:ascii="Arial" w:cs="Arial" w:eastAsia="Arial" w:hAnsi="Arial"/>
                <w:i w:val="1"/>
                <w:color w:val="ff0000"/>
              </w:rPr>
            </w:pPr>
            <w:r w:rsidDel="00000000" w:rsidR="00000000" w:rsidRPr="00000000">
              <w:rPr>
                <w:rtl w:val="0"/>
              </w:rPr>
            </w:r>
          </w:p>
        </w:tc>
      </w:tr>
      <w:tr>
        <w:tc>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Questions</w:t>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b w:val="1"/>
                <w:rtl w:val="0"/>
              </w:rPr>
              <w:t xml:space="preserve">Rich Question: </w:t>
            </w:r>
            <w:r w:rsidDel="00000000" w:rsidR="00000000" w:rsidRPr="00000000">
              <w:rPr>
                <w:rtl w:val="0"/>
              </w:rPr>
            </w:r>
          </w:p>
          <w:p w:rsidR="00000000" w:rsidDel="00000000" w:rsidP="00000000" w:rsidRDefault="00000000" w:rsidRPr="00000000" w14:paraId="00000019">
            <w:pPr>
              <w:rPr>
                <w:rFonts w:ascii="Arial" w:cs="Arial" w:eastAsia="Arial" w:hAnsi="Arial"/>
                <w:i w:val="1"/>
                <w:color w:val="ff0000"/>
              </w:rPr>
            </w:pPr>
            <w:r w:rsidDel="00000000" w:rsidR="00000000" w:rsidRPr="00000000">
              <w:rPr>
                <w:rFonts w:ascii="Arial" w:cs="Arial" w:eastAsia="Arial" w:hAnsi="Arial"/>
                <w:i w:val="1"/>
                <w:color w:val="ff0000"/>
                <w:rtl w:val="0"/>
              </w:rPr>
              <w:t xml:space="preserve">A rich question is challenging and provocative. It encapsulates the broad scope of the inquiry.</w:t>
            </w:r>
          </w:p>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Contributing Questions:</w:t>
            </w:r>
          </w:p>
          <w:p w:rsidR="00000000" w:rsidDel="00000000" w:rsidP="00000000" w:rsidRDefault="00000000" w:rsidRPr="00000000" w14:paraId="0000001B">
            <w:pPr>
              <w:rPr>
                <w:rFonts w:ascii="Arial" w:cs="Arial" w:eastAsia="Arial" w:hAnsi="Arial"/>
                <w:i w:val="1"/>
                <w:color w:val="ff0000"/>
              </w:rPr>
            </w:pPr>
            <w:r w:rsidDel="00000000" w:rsidR="00000000" w:rsidRPr="00000000">
              <w:rPr>
                <w:rFonts w:ascii="Arial" w:cs="Arial" w:eastAsia="Arial" w:hAnsi="Arial"/>
                <w:i w:val="1"/>
                <w:color w:val="ff0000"/>
                <w:rtl w:val="0"/>
              </w:rPr>
              <w:t xml:space="preserve">Questions are in student friendly language and relate directly to the understandings. Questions are shownto the students not the understandings and invite students into the inquiry. Questions can act as learning intentions</w:t>
            </w:r>
          </w:p>
          <w:p w:rsidR="00000000" w:rsidDel="00000000" w:rsidP="00000000" w:rsidRDefault="00000000" w:rsidRPr="00000000" w14:paraId="0000001C">
            <w:pPr>
              <w:rPr>
                <w:rFonts w:ascii="Arial" w:cs="Arial" w:eastAsia="Arial" w:hAnsi="Arial"/>
              </w:rPr>
            </w:pPr>
            <w:r w:rsidDel="00000000" w:rsidR="00000000" w:rsidRPr="00000000">
              <w:rPr>
                <w:rtl w:val="0"/>
              </w:rPr>
            </w:r>
          </w:p>
        </w:tc>
      </w:tr>
      <w:tr>
        <w:tc>
          <w:tcPr>
            <w:gridSpan w:val="2"/>
          </w:tcPr>
          <w:p w:rsidR="00000000" w:rsidDel="00000000" w:rsidP="00000000" w:rsidRDefault="00000000" w:rsidRPr="00000000" w14:paraId="0000001D">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Curriculum Links</w:t>
            </w:r>
          </w:p>
        </w:tc>
      </w:tr>
      <w:tr>
        <w:tc>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Assessment</w:t>
            </w:r>
          </w:p>
        </w:tc>
        <w:tc>
          <w:tcPr/>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Learning Areas and Standards</w:t>
            </w:r>
          </w:p>
        </w:tc>
      </w:tr>
      <w:tr>
        <w:tc>
          <w:tcPr/>
          <w:p w:rsidR="00000000" w:rsidDel="00000000" w:rsidP="00000000" w:rsidRDefault="00000000" w:rsidRPr="00000000" w14:paraId="00000021">
            <w:pPr>
              <w:rPr>
                <w:rFonts w:ascii="Arial" w:cs="Arial" w:eastAsia="Arial" w:hAnsi="Arial"/>
                <w:i w:val="1"/>
                <w:color w:val="ff0000"/>
              </w:rPr>
            </w:pPr>
            <w:r w:rsidDel="00000000" w:rsidR="00000000" w:rsidRPr="00000000">
              <w:rPr>
                <w:rFonts w:ascii="Arial" w:cs="Arial" w:eastAsia="Arial" w:hAnsi="Arial"/>
                <w:i w:val="1"/>
                <w:color w:val="ff0000"/>
                <w:rtl w:val="0"/>
              </w:rPr>
              <w:t xml:space="preserve">Assessment strategies that will be used to collect evidence of student learning</w:t>
            </w:r>
          </w:p>
          <w:p w:rsidR="00000000" w:rsidDel="00000000" w:rsidP="00000000" w:rsidRDefault="00000000" w:rsidRPr="00000000" w14:paraId="00000022">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3">
            <w:pPr>
              <w:rPr>
                <w:rFonts w:ascii="Arial" w:cs="Arial" w:eastAsia="Arial" w:hAnsi="Arial"/>
                <w:i w:val="1"/>
                <w:color w:val="ff0000"/>
              </w:rPr>
            </w:pPr>
            <w:r w:rsidDel="00000000" w:rsidR="00000000" w:rsidRPr="00000000">
              <w:rPr>
                <w:rFonts w:ascii="Arial" w:cs="Arial" w:eastAsia="Arial" w:hAnsi="Arial"/>
                <w:i w:val="1"/>
                <w:color w:val="ff0000"/>
                <w:rtl w:val="0"/>
              </w:rPr>
              <w:t xml:space="preserve">Identifying the Learning Areas that connect to this inquiry and the specific skills, dispositions and content students will engage In, and that can be assessed and reported against.</w:t>
            </w:r>
          </w:p>
          <w:p w:rsidR="00000000" w:rsidDel="00000000" w:rsidP="00000000" w:rsidRDefault="00000000" w:rsidRPr="00000000" w14:paraId="00000024">
            <w:pPr>
              <w:rPr>
                <w:rFonts w:ascii="Arial" w:cs="Arial" w:eastAsia="Arial" w:hAnsi="Arial"/>
                <w:i w:val="1"/>
                <w:color w:val="ff0000"/>
              </w:rPr>
            </w:pPr>
            <w:r w:rsidDel="00000000" w:rsidR="00000000" w:rsidRPr="00000000">
              <w:rPr>
                <w:rtl w:val="0"/>
              </w:rPr>
            </w:r>
          </w:p>
          <w:p w:rsidR="00000000" w:rsidDel="00000000" w:rsidP="00000000" w:rsidRDefault="00000000" w:rsidRPr="00000000" w14:paraId="00000025">
            <w:pP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Consistent ‘inquiry-based’ Learning Areas:</w:t>
            </w:r>
          </w:p>
          <w:p w:rsidR="00000000" w:rsidDel="00000000" w:rsidP="00000000" w:rsidRDefault="00000000" w:rsidRPr="00000000" w14:paraId="00000026">
            <w:pPr>
              <w:rPr>
                <w:rFonts w:ascii="Arial" w:cs="Arial" w:eastAsia="Arial" w:hAnsi="Arial"/>
                <w:color w:val="ff0000"/>
              </w:rPr>
            </w:pPr>
            <w:r w:rsidDel="00000000" w:rsidR="00000000" w:rsidRPr="00000000">
              <w:rPr>
                <w:rFonts w:ascii="Arial" w:cs="Arial" w:eastAsia="Arial" w:hAnsi="Arial"/>
                <w:color w:val="ff0000"/>
                <w:rtl w:val="0"/>
              </w:rPr>
              <w:t xml:space="preserve">Critical and Creative Thinking</w:t>
            </w:r>
          </w:p>
          <w:p w:rsidR="00000000" w:rsidDel="00000000" w:rsidP="00000000" w:rsidRDefault="00000000" w:rsidRPr="00000000" w14:paraId="00000027">
            <w:pPr>
              <w:rPr>
                <w:rFonts w:ascii="Arial" w:cs="Arial" w:eastAsia="Arial" w:hAnsi="Arial"/>
                <w:color w:val="ff0000"/>
              </w:rPr>
            </w:pPr>
            <w:r w:rsidDel="00000000" w:rsidR="00000000" w:rsidRPr="00000000">
              <w:rPr>
                <w:rFonts w:ascii="Arial" w:cs="Arial" w:eastAsia="Arial" w:hAnsi="Arial"/>
                <w:color w:val="ff0000"/>
                <w:rtl w:val="0"/>
              </w:rPr>
              <w:t xml:space="preserve">Personal and Social Capability</w:t>
            </w:r>
          </w:p>
          <w:p w:rsidR="00000000" w:rsidDel="00000000" w:rsidP="00000000" w:rsidRDefault="00000000" w:rsidRPr="00000000" w14:paraId="00000028">
            <w:pPr>
              <w:rPr>
                <w:rFonts w:ascii="Arial" w:cs="Arial" w:eastAsia="Arial" w:hAnsi="Arial"/>
                <w:color w:val="ff0000"/>
              </w:rPr>
            </w:pPr>
            <w:r w:rsidDel="00000000" w:rsidR="00000000" w:rsidRPr="00000000">
              <w:rPr>
                <w:rtl w:val="0"/>
              </w:rPr>
            </w:r>
          </w:p>
          <w:p w:rsidR="00000000" w:rsidDel="00000000" w:rsidP="00000000" w:rsidRDefault="00000000" w:rsidRPr="00000000" w14:paraId="00000029">
            <w:pPr>
              <w:rPr>
                <w:rFonts w:ascii="Arial" w:cs="Arial" w:eastAsia="Arial" w:hAnsi="Arial"/>
                <w:b w:val="1"/>
                <w:i w:val="1"/>
                <w:color w:val="ff0000"/>
              </w:rPr>
            </w:pPr>
            <w:r w:rsidDel="00000000" w:rsidR="00000000" w:rsidRPr="00000000">
              <w:rPr>
                <w:rFonts w:ascii="Arial" w:cs="Arial" w:eastAsia="Arial" w:hAnsi="Arial"/>
                <w:b w:val="1"/>
                <w:i w:val="1"/>
                <w:color w:val="ff0000"/>
                <w:rtl w:val="0"/>
              </w:rPr>
              <w:t xml:space="preserve">Topic specific Learning Areas:</w:t>
            </w:r>
          </w:p>
          <w:p w:rsidR="00000000" w:rsidDel="00000000" w:rsidP="00000000" w:rsidRDefault="00000000" w:rsidRPr="00000000" w14:paraId="0000002A">
            <w:pPr>
              <w:rPr>
                <w:rFonts w:ascii="Arial" w:cs="Arial" w:eastAsia="Arial" w:hAnsi="Arial"/>
                <w:color w:val="ff0000"/>
              </w:rPr>
            </w:pPr>
            <w:r w:rsidDel="00000000" w:rsidR="00000000" w:rsidRPr="00000000">
              <w:rPr>
                <w:rFonts w:ascii="Arial" w:cs="Arial" w:eastAsia="Arial" w:hAnsi="Arial"/>
                <w:color w:val="ff0000"/>
                <w:rtl w:val="0"/>
              </w:rPr>
              <w:t xml:space="preserve">Science</w:t>
            </w:r>
          </w:p>
          <w:p w:rsidR="00000000" w:rsidDel="00000000" w:rsidP="00000000" w:rsidRDefault="00000000" w:rsidRPr="00000000" w14:paraId="0000002B">
            <w:pPr>
              <w:rPr>
                <w:rFonts w:ascii="Arial" w:cs="Arial" w:eastAsia="Arial" w:hAnsi="Arial"/>
                <w:color w:val="ff0000"/>
              </w:rPr>
            </w:pPr>
            <w:r w:rsidDel="00000000" w:rsidR="00000000" w:rsidRPr="00000000">
              <w:rPr>
                <w:rFonts w:ascii="Arial" w:cs="Arial" w:eastAsia="Arial" w:hAnsi="Arial"/>
                <w:color w:val="ff0000"/>
                <w:rtl w:val="0"/>
              </w:rPr>
              <w:t xml:space="preserve">Design Technologies</w:t>
            </w:r>
          </w:p>
          <w:p w:rsidR="00000000" w:rsidDel="00000000" w:rsidP="00000000" w:rsidRDefault="00000000" w:rsidRPr="00000000" w14:paraId="0000002C">
            <w:pPr>
              <w:rPr>
                <w:rFonts w:ascii="Arial" w:cs="Arial" w:eastAsia="Arial" w:hAnsi="Arial"/>
                <w:color w:val="ff0000"/>
              </w:rPr>
            </w:pPr>
            <w:r w:rsidDel="00000000" w:rsidR="00000000" w:rsidRPr="00000000">
              <w:rPr>
                <w:rFonts w:ascii="Arial" w:cs="Arial" w:eastAsia="Arial" w:hAnsi="Arial"/>
                <w:color w:val="ff0000"/>
                <w:rtl w:val="0"/>
              </w:rPr>
              <w:t xml:space="preserve">Ethical Capability</w:t>
            </w:r>
          </w:p>
          <w:p w:rsidR="00000000" w:rsidDel="00000000" w:rsidP="00000000" w:rsidRDefault="00000000" w:rsidRPr="00000000" w14:paraId="0000002D">
            <w:pPr>
              <w:rPr>
                <w:rFonts w:ascii="Arial" w:cs="Arial" w:eastAsia="Arial" w:hAnsi="Arial"/>
                <w:color w:val="ff0000"/>
              </w:rPr>
            </w:pPr>
            <w:r w:rsidDel="00000000" w:rsidR="00000000" w:rsidRPr="00000000">
              <w:rPr>
                <w:rFonts w:ascii="Arial" w:cs="Arial" w:eastAsia="Arial" w:hAnsi="Arial"/>
                <w:color w:val="ff0000"/>
                <w:rtl w:val="0"/>
              </w:rPr>
              <w:t xml:space="preserve">Intercultural Capability</w:t>
            </w:r>
          </w:p>
          <w:p w:rsidR="00000000" w:rsidDel="00000000" w:rsidP="00000000" w:rsidRDefault="00000000" w:rsidRPr="00000000" w14:paraId="0000002E">
            <w:pPr>
              <w:rPr>
                <w:rFonts w:ascii="Arial" w:cs="Arial" w:eastAsia="Arial" w:hAnsi="Arial"/>
                <w:color w:val="ff0000"/>
              </w:rPr>
            </w:pPr>
            <w:r w:rsidDel="00000000" w:rsidR="00000000" w:rsidRPr="00000000">
              <w:rPr>
                <w:rFonts w:ascii="Arial" w:cs="Arial" w:eastAsia="Arial" w:hAnsi="Arial"/>
                <w:color w:val="ff0000"/>
                <w:rtl w:val="0"/>
              </w:rPr>
              <w:t xml:space="preserve">Health (and P.E.)</w:t>
            </w:r>
          </w:p>
          <w:p w:rsidR="00000000" w:rsidDel="00000000" w:rsidP="00000000" w:rsidRDefault="00000000" w:rsidRPr="00000000" w14:paraId="0000002F">
            <w:pPr>
              <w:rPr>
                <w:rFonts w:ascii="Arial" w:cs="Arial" w:eastAsia="Arial" w:hAnsi="Arial"/>
                <w:color w:val="ff0000"/>
              </w:rPr>
            </w:pPr>
            <w:r w:rsidDel="00000000" w:rsidR="00000000" w:rsidRPr="00000000">
              <w:rPr>
                <w:rFonts w:ascii="Arial" w:cs="Arial" w:eastAsia="Arial" w:hAnsi="Arial"/>
                <w:color w:val="ff0000"/>
                <w:rtl w:val="0"/>
              </w:rPr>
              <w:t xml:space="preserve">History</w:t>
            </w:r>
          </w:p>
          <w:p w:rsidR="00000000" w:rsidDel="00000000" w:rsidP="00000000" w:rsidRDefault="00000000" w:rsidRPr="00000000" w14:paraId="00000030">
            <w:pPr>
              <w:rPr>
                <w:rFonts w:ascii="Arial" w:cs="Arial" w:eastAsia="Arial" w:hAnsi="Arial"/>
                <w:color w:val="ff0000"/>
              </w:rPr>
            </w:pPr>
            <w:r w:rsidDel="00000000" w:rsidR="00000000" w:rsidRPr="00000000">
              <w:rPr>
                <w:rFonts w:ascii="Arial" w:cs="Arial" w:eastAsia="Arial" w:hAnsi="Arial"/>
                <w:color w:val="ff0000"/>
                <w:rtl w:val="0"/>
              </w:rPr>
              <w:t xml:space="preserve">Geography</w:t>
            </w:r>
          </w:p>
          <w:p w:rsidR="00000000" w:rsidDel="00000000" w:rsidP="00000000" w:rsidRDefault="00000000" w:rsidRPr="00000000" w14:paraId="00000031">
            <w:pPr>
              <w:rPr>
                <w:rFonts w:ascii="Arial" w:cs="Arial" w:eastAsia="Arial" w:hAnsi="Arial"/>
                <w:color w:val="ff0000"/>
              </w:rPr>
            </w:pPr>
            <w:r w:rsidDel="00000000" w:rsidR="00000000" w:rsidRPr="00000000">
              <w:rPr>
                <w:rFonts w:ascii="Arial" w:cs="Arial" w:eastAsia="Arial" w:hAnsi="Arial"/>
                <w:color w:val="ff0000"/>
                <w:rtl w:val="0"/>
              </w:rPr>
              <w:t xml:space="preserve">Civics and Citizenship</w:t>
            </w:r>
          </w:p>
          <w:p w:rsidR="00000000" w:rsidDel="00000000" w:rsidP="00000000" w:rsidRDefault="00000000" w:rsidRPr="00000000" w14:paraId="00000032">
            <w:pPr>
              <w:rPr>
                <w:rFonts w:ascii="Arial" w:cs="Arial" w:eastAsia="Arial" w:hAnsi="Arial"/>
                <w:color w:val="ff0000"/>
              </w:rPr>
            </w:pPr>
            <w:r w:rsidDel="00000000" w:rsidR="00000000" w:rsidRPr="00000000">
              <w:rPr>
                <w:rFonts w:ascii="Arial" w:cs="Arial" w:eastAsia="Arial" w:hAnsi="Arial"/>
                <w:color w:val="ff0000"/>
                <w:rtl w:val="0"/>
              </w:rPr>
              <w:t xml:space="preserve">Economics and Business</w:t>
            </w:r>
          </w:p>
          <w:p w:rsidR="00000000" w:rsidDel="00000000" w:rsidP="00000000" w:rsidRDefault="00000000" w:rsidRPr="00000000" w14:paraId="00000033">
            <w:pPr>
              <w:rPr>
                <w:rFonts w:ascii="Arial" w:cs="Arial" w:eastAsia="Arial" w:hAnsi="Arial"/>
                <w:color w:val="ff0000"/>
              </w:rPr>
            </w:pPr>
            <w:r w:rsidDel="00000000" w:rsidR="00000000" w:rsidRPr="00000000">
              <w:rPr>
                <w:rtl w:val="0"/>
              </w:rPr>
            </w:r>
          </w:p>
        </w:tc>
      </w:tr>
      <w:tr>
        <w:trPr>
          <w:trHeight w:val="760" w:hRule="atLeast"/>
        </w:trPr>
        <w:tc>
          <w:tcPr/>
          <w:p w:rsidR="00000000" w:rsidDel="00000000" w:rsidP="00000000" w:rsidRDefault="00000000" w:rsidRPr="00000000" w14:paraId="00000034">
            <w:pPr>
              <w:pStyle w:val="Heading3"/>
              <w:rPr>
                <w:sz w:val="24"/>
                <w:szCs w:val="24"/>
              </w:rPr>
            </w:pPr>
            <w:r w:rsidDel="00000000" w:rsidR="00000000" w:rsidRPr="00000000">
              <w:rPr>
                <w:sz w:val="24"/>
                <w:szCs w:val="24"/>
                <w:rtl w:val="0"/>
              </w:rPr>
              <w:t xml:space="preserve">Links to Literacy</w:t>
            </w:r>
          </w:p>
          <w:p w:rsidR="00000000" w:rsidDel="00000000" w:rsidP="00000000" w:rsidRDefault="00000000" w:rsidRPr="00000000" w14:paraId="00000035">
            <w:pPr>
              <w:pStyle w:val="Heading3"/>
              <w:rPr>
                <w:sz w:val="24"/>
                <w:szCs w:val="24"/>
              </w:rPr>
            </w:pPr>
            <w:r w:rsidDel="00000000" w:rsidR="00000000" w:rsidRPr="00000000">
              <w:rPr>
                <w:rtl w:val="0"/>
              </w:rPr>
            </w:r>
          </w:p>
        </w:tc>
        <w:tc>
          <w:tcPr/>
          <w:p w:rsidR="00000000" w:rsidDel="00000000" w:rsidP="00000000" w:rsidRDefault="00000000" w:rsidRPr="00000000" w14:paraId="00000036">
            <w:pPr>
              <w:rPr>
                <w:rFonts w:ascii="Arial" w:cs="Arial" w:eastAsia="Arial" w:hAnsi="Arial"/>
                <w:i w:val="1"/>
                <w:color w:val="ff0000"/>
              </w:rPr>
            </w:pPr>
            <w:r w:rsidDel="00000000" w:rsidR="00000000" w:rsidRPr="00000000">
              <w:rPr>
                <w:rFonts w:ascii="Arial" w:cs="Arial" w:eastAsia="Arial" w:hAnsi="Arial"/>
                <w:i w:val="1"/>
                <w:color w:val="ff0000"/>
                <w:rtl w:val="0"/>
              </w:rPr>
              <w:t xml:space="preserve">What are the literacy demands and opportunities of the unit? Consider links to oral language, reading, viewing and creation of written, visual and digital texts.</w:t>
            </w:r>
          </w:p>
          <w:p w:rsidR="00000000" w:rsidDel="00000000" w:rsidP="00000000" w:rsidRDefault="00000000" w:rsidRPr="00000000" w14:paraId="00000037">
            <w:pPr>
              <w:rPr>
                <w:rFonts w:ascii="Arial" w:cs="Arial" w:eastAsia="Arial" w:hAnsi="Arial"/>
                <w:i w:val="1"/>
                <w:color w:val="ff0000"/>
              </w:rPr>
            </w:pPr>
            <w:r w:rsidDel="00000000" w:rsidR="00000000" w:rsidRPr="00000000">
              <w:rPr>
                <w:rtl w:val="0"/>
              </w:rPr>
            </w:r>
          </w:p>
        </w:tc>
      </w:tr>
      <w:tr>
        <w:trPr>
          <w:trHeight w:val="820" w:hRule="atLeast"/>
        </w:trPr>
        <w:tc>
          <w:tcPr/>
          <w:p w:rsidR="00000000" w:rsidDel="00000000" w:rsidP="00000000" w:rsidRDefault="00000000" w:rsidRPr="00000000" w14:paraId="00000038">
            <w:pPr>
              <w:pStyle w:val="Heading3"/>
              <w:rPr>
                <w:sz w:val="24"/>
                <w:szCs w:val="24"/>
              </w:rPr>
            </w:pPr>
            <w:r w:rsidDel="00000000" w:rsidR="00000000" w:rsidRPr="00000000">
              <w:rPr>
                <w:sz w:val="24"/>
                <w:szCs w:val="24"/>
                <w:rtl w:val="0"/>
              </w:rPr>
              <w:t xml:space="preserve">Links to Mathematics</w:t>
            </w:r>
          </w:p>
          <w:p w:rsidR="00000000" w:rsidDel="00000000" w:rsidP="00000000" w:rsidRDefault="00000000" w:rsidRPr="00000000" w14:paraId="00000039">
            <w:pPr>
              <w:pStyle w:val="Heading3"/>
              <w:rPr>
                <w:sz w:val="24"/>
                <w:szCs w:val="24"/>
              </w:rPr>
            </w:pPr>
            <w:r w:rsidDel="00000000" w:rsidR="00000000" w:rsidRPr="00000000">
              <w:rPr>
                <w:rtl w:val="0"/>
              </w:rPr>
            </w:r>
          </w:p>
        </w:tc>
        <w:tc>
          <w:tcPr/>
          <w:p w:rsidR="00000000" w:rsidDel="00000000" w:rsidP="00000000" w:rsidRDefault="00000000" w:rsidRPr="00000000" w14:paraId="0000003A">
            <w:pPr>
              <w:rPr>
                <w:rFonts w:ascii="Arial" w:cs="Arial" w:eastAsia="Arial" w:hAnsi="Arial"/>
                <w:i w:val="1"/>
                <w:color w:val="ff0000"/>
              </w:rPr>
            </w:pPr>
            <w:r w:rsidDel="00000000" w:rsidR="00000000" w:rsidRPr="00000000">
              <w:rPr>
                <w:rFonts w:ascii="Arial" w:cs="Arial" w:eastAsia="Arial" w:hAnsi="Arial"/>
                <w:i w:val="1"/>
                <w:color w:val="ff0000"/>
                <w:rtl w:val="0"/>
              </w:rPr>
              <w:t xml:space="preserve">What are the numeracy demands and opportunities of the unit? Consider links to both number and applied areas of mathematics (measurement and geometry and statistics and probability).</w:t>
            </w:r>
          </w:p>
          <w:p w:rsidR="00000000" w:rsidDel="00000000" w:rsidP="00000000" w:rsidRDefault="00000000" w:rsidRPr="00000000" w14:paraId="0000003B">
            <w:pPr>
              <w:rPr>
                <w:rFonts w:ascii="Arial" w:cs="Arial" w:eastAsia="Arial" w:hAnsi="Arial"/>
                <w:i w:val="1"/>
                <w:color w:val="ff0000"/>
              </w:rPr>
            </w:pPr>
            <w:r w:rsidDel="00000000" w:rsidR="00000000" w:rsidRPr="00000000">
              <w:rPr>
                <w:rtl w:val="0"/>
              </w:rPr>
            </w:r>
          </w:p>
        </w:tc>
      </w:tr>
      <w:tr>
        <w:trPr>
          <w:trHeight w:val="820" w:hRule="atLeast"/>
        </w:trPr>
        <w:tc>
          <w:tcPr/>
          <w:p w:rsidR="00000000" w:rsidDel="00000000" w:rsidP="00000000" w:rsidRDefault="00000000" w:rsidRPr="00000000" w14:paraId="0000003C">
            <w:pPr>
              <w:pStyle w:val="Heading3"/>
              <w:rPr>
                <w:sz w:val="24"/>
                <w:szCs w:val="24"/>
              </w:rPr>
            </w:pPr>
            <w:r w:rsidDel="00000000" w:rsidR="00000000" w:rsidRPr="00000000">
              <w:rPr>
                <w:sz w:val="24"/>
                <w:szCs w:val="24"/>
                <w:rtl w:val="0"/>
              </w:rPr>
              <w:t xml:space="preserve">Other curriculum links</w:t>
            </w:r>
          </w:p>
        </w:tc>
        <w:tc>
          <w:tcPr/>
          <w:p w:rsidR="00000000" w:rsidDel="00000000" w:rsidP="00000000" w:rsidRDefault="00000000" w:rsidRPr="00000000" w14:paraId="0000003D">
            <w:pPr>
              <w:rPr>
                <w:rFonts w:ascii="Arial" w:cs="Arial" w:eastAsia="Arial" w:hAnsi="Arial"/>
                <w:i w:val="1"/>
                <w:color w:val="ff0000"/>
              </w:rPr>
            </w:pPr>
            <w:r w:rsidDel="00000000" w:rsidR="00000000" w:rsidRPr="00000000">
              <w:rPr>
                <w:rFonts w:ascii="Arial" w:cs="Arial" w:eastAsia="Arial" w:hAnsi="Arial"/>
                <w:i w:val="1"/>
                <w:color w:val="ff0000"/>
                <w:rtl w:val="0"/>
              </w:rPr>
              <w:t xml:space="preserve">Eg. Arts, R.E. Specialist subjects, whole school events such as an Arts show or Performance</w:t>
            </w:r>
          </w:p>
        </w:tc>
      </w:tr>
      <w:tr>
        <w:trPr>
          <w:trHeight w:val="820" w:hRule="atLeast"/>
        </w:trPr>
        <w:tc>
          <w:tcPr/>
          <w:p w:rsidR="00000000" w:rsidDel="00000000" w:rsidP="00000000" w:rsidRDefault="00000000" w:rsidRPr="00000000" w14:paraId="0000003E">
            <w:pPr>
              <w:pStyle w:val="Heading3"/>
              <w:rPr>
                <w:sz w:val="24"/>
                <w:szCs w:val="24"/>
              </w:rPr>
            </w:pPr>
            <w:r w:rsidDel="00000000" w:rsidR="00000000" w:rsidRPr="00000000">
              <w:rPr>
                <w:sz w:val="24"/>
                <w:szCs w:val="24"/>
                <w:rtl w:val="0"/>
              </w:rPr>
              <w:t xml:space="preserve">Resources</w:t>
            </w:r>
          </w:p>
        </w:tc>
        <w:tc>
          <w:tcPr/>
          <w:p w:rsidR="00000000" w:rsidDel="00000000" w:rsidP="00000000" w:rsidRDefault="00000000" w:rsidRPr="00000000" w14:paraId="0000003F">
            <w:pPr>
              <w:rPr>
                <w:rFonts w:ascii="Arial" w:cs="Arial" w:eastAsia="Arial" w:hAnsi="Arial"/>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tbl>
      <w:tblPr>
        <w:tblStyle w:val="Table2"/>
        <w:tblW w:w="10065.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0"/>
        <w:gridCol w:w="7655"/>
        <w:tblGridChange w:id="0">
          <w:tblGrid>
            <w:gridCol w:w="2410"/>
            <w:gridCol w:w="7655"/>
          </w:tblGrid>
        </w:tblGridChange>
      </w:tblGrid>
      <w:tr>
        <w:tc>
          <w:tcPr>
            <w:gridSpan w:val="2"/>
          </w:tcPr>
          <w:p w:rsidR="00000000" w:rsidDel="00000000" w:rsidP="00000000" w:rsidRDefault="00000000" w:rsidRPr="00000000" w14:paraId="00000041">
            <w:pPr>
              <w:pStyle w:val="Heading3"/>
              <w:jc w:val="center"/>
              <w:rPr>
                <w:sz w:val="40"/>
                <w:szCs w:val="40"/>
              </w:rPr>
            </w:pPr>
            <w:r w:rsidDel="00000000" w:rsidR="00000000" w:rsidRPr="00000000">
              <w:rPr>
                <w:sz w:val="40"/>
                <w:szCs w:val="40"/>
                <w:rtl w:val="0"/>
              </w:rPr>
              <w:t xml:space="preserve">BUILDING </w:t>
            </w:r>
          </w:p>
          <w:p w:rsidR="00000000" w:rsidDel="00000000" w:rsidP="00000000" w:rsidRDefault="00000000" w:rsidRPr="00000000" w14:paraId="00000042">
            <w:pPr>
              <w:pStyle w:val="Heading3"/>
              <w:jc w:val="center"/>
              <w:rPr>
                <w:b w:val="0"/>
                <w:sz w:val="24"/>
                <w:szCs w:val="24"/>
              </w:rPr>
            </w:pPr>
            <w:r w:rsidDel="00000000" w:rsidR="00000000" w:rsidRPr="00000000">
              <w:rPr>
                <w:b w:val="0"/>
                <w:i w:val="1"/>
                <w:sz w:val="24"/>
                <w:szCs w:val="24"/>
                <w:rtl w:val="0"/>
              </w:rPr>
              <w:t xml:space="preserve">Strategic experiences designed to immerse and engage students, as well as develop a general knowledge base about the topic that can be further explored</w:t>
            </w:r>
            <w:r w:rsidDel="00000000" w:rsidR="00000000" w:rsidRPr="00000000">
              <w:rPr>
                <w:rtl w:val="0"/>
              </w:rPr>
            </w:r>
          </w:p>
        </w:tc>
      </w:tr>
      <w:tr>
        <w:trPr>
          <w:trHeight w:val="680" w:hRule="atLeast"/>
        </w:trPr>
        <w:tc>
          <w:tcPr/>
          <w:p w:rsidR="00000000" w:rsidDel="00000000" w:rsidP="00000000" w:rsidRDefault="00000000" w:rsidRPr="00000000" w14:paraId="00000044">
            <w:pPr>
              <w:rPr>
                <w:rFonts w:ascii="Arial" w:cs="Arial" w:eastAsia="Arial" w:hAnsi="Arial"/>
                <w:b w:val="1"/>
                <w:i w:val="1"/>
              </w:rPr>
            </w:pPr>
            <w:r w:rsidDel="00000000" w:rsidR="00000000" w:rsidRPr="00000000">
              <w:rPr>
                <w:rFonts w:ascii="Arial" w:cs="Arial" w:eastAsia="Arial" w:hAnsi="Arial"/>
                <w:b w:val="1"/>
                <w:rtl w:val="0"/>
              </w:rPr>
              <w:t xml:space="preserve">Timeline and purpose (question)</w:t>
            </w:r>
            <w:r w:rsidDel="00000000" w:rsidR="00000000" w:rsidRPr="00000000">
              <w:rPr>
                <w:rtl w:val="0"/>
              </w:rPr>
            </w:r>
          </w:p>
        </w:tc>
        <w:tc>
          <w:tcPr/>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Learning Experiences</w:t>
            </w:r>
          </w:p>
          <w:p w:rsidR="00000000" w:rsidDel="00000000" w:rsidP="00000000" w:rsidRDefault="00000000" w:rsidRPr="00000000" w14:paraId="00000046">
            <w:pPr>
              <w:rPr>
                <w:rFonts w:ascii="Arial" w:cs="Arial" w:eastAsia="Arial" w:hAnsi="Arial"/>
                <w:b w:val="1"/>
              </w:rPr>
            </w:pPr>
            <w:r w:rsidDel="00000000" w:rsidR="00000000" w:rsidRPr="00000000">
              <w:rPr>
                <w:rtl w:val="0"/>
              </w:rPr>
            </w:r>
          </w:p>
        </w:tc>
      </w:tr>
      <w:tr>
        <w:trPr>
          <w:trHeight w:val="1400" w:hRule="atLeast"/>
        </w:trPr>
        <w:tc>
          <w:tcPr/>
          <w:p w:rsidR="00000000" w:rsidDel="00000000" w:rsidP="00000000" w:rsidRDefault="00000000" w:rsidRPr="00000000" w14:paraId="00000047">
            <w:pPr>
              <w:rPr>
                <w:rFonts w:ascii="Arial" w:cs="Arial" w:eastAsia="Arial" w:hAnsi="Arial"/>
                <w:i w:val="1"/>
                <w:color w:val="ff0000"/>
              </w:rPr>
            </w:pPr>
            <w:r w:rsidDel="00000000" w:rsidR="00000000" w:rsidRPr="00000000">
              <w:rPr>
                <w:rFonts w:ascii="Arial" w:cs="Arial" w:eastAsia="Arial" w:hAnsi="Arial"/>
                <w:i w:val="1"/>
                <w:color w:val="ff0000"/>
                <w:rtl w:val="0"/>
              </w:rPr>
              <w:t xml:space="preserve">Learning intentions framed as questions make the learning explicit and invite the students into inquiry </w:t>
            </w:r>
          </w:p>
        </w:tc>
        <w:tc>
          <w:tcPr/>
          <w:p w:rsidR="00000000" w:rsidDel="00000000" w:rsidP="00000000" w:rsidRDefault="00000000" w:rsidRPr="00000000" w14:paraId="00000048">
            <w:pPr>
              <w:rPr>
                <w:rFonts w:ascii="Arial" w:cs="Arial" w:eastAsia="Arial" w:hAnsi="Arial"/>
                <w:i w:val="1"/>
                <w:color w:val="ff0000"/>
              </w:rPr>
            </w:pPr>
            <w:r w:rsidDel="00000000" w:rsidR="00000000" w:rsidRPr="00000000">
              <w:rPr>
                <w:rFonts w:ascii="Arial" w:cs="Arial" w:eastAsia="Arial" w:hAnsi="Arial"/>
                <w:i w:val="1"/>
                <w:color w:val="ff0000"/>
                <w:rtl w:val="0"/>
              </w:rPr>
              <w:t xml:space="preserve">Things to consider during the Building Stage:</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Use students’ prior knowledge to determine a starting point (what do they already know, what are their misconceptions, what are they already curious about?)</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Build a starting knowledge base so students have a foundation from which to ask deeper questions (but don’t ‘teach all’)</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Building stage should be short and succinct</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Incorporate a variety of experiences to engage the students </w:t>
            </w:r>
          </w:p>
          <w:p w:rsidR="00000000" w:rsidDel="00000000" w:rsidP="00000000" w:rsidRDefault="00000000" w:rsidRPr="00000000" w14:paraId="0000004D">
            <w:pPr>
              <w:rPr>
                <w:rFonts w:ascii="Arial" w:cs="Arial" w:eastAsia="Arial" w:hAnsi="Arial"/>
                <w:i w:val="1"/>
                <w:color w:val="ff0000"/>
              </w:rPr>
            </w:pPr>
            <w:r w:rsidDel="00000000" w:rsidR="00000000" w:rsidRPr="00000000">
              <w:rPr>
                <w:rtl w:val="0"/>
              </w:rPr>
            </w:r>
          </w:p>
        </w:tc>
      </w:tr>
      <w:tr>
        <w:trPr>
          <w:trHeight w:val="680" w:hRule="atLeast"/>
        </w:trPr>
        <w:tc>
          <w:tcPr>
            <w:gridSpan w:val="2"/>
          </w:tcPr>
          <w:p w:rsidR="00000000" w:rsidDel="00000000" w:rsidP="00000000" w:rsidRDefault="00000000" w:rsidRPr="00000000" w14:paraId="0000004E">
            <w:pPr>
              <w:pStyle w:val="Heading3"/>
              <w:jc w:val="center"/>
              <w:rPr>
                <w:sz w:val="40"/>
                <w:szCs w:val="40"/>
              </w:rPr>
            </w:pPr>
            <w:r w:rsidDel="00000000" w:rsidR="00000000" w:rsidRPr="00000000">
              <w:rPr>
                <w:sz w:val="40"/>
                <w:szCs w:val="40"/>
                <w:rtl w:val="0"/>
              </w:rPr>
              <w:t xml:space="preserve">INVESTIGATING</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Strategies for students engaging in deeper investigations of the topic informed by their interests and wonderings.</w:t>
            </w:r>
            <w:r w:rsidDel="00000000" w:rsidR="00000000" w:rsidRPr="00000000">
              <w:rPr>
                <w:rtl w:val="0"/>
              </w:rPr>
            </w:r>
          </w:p>
        </w:tc>
      </w:tr>
      <w:tr>
        <w:trPr>
          <w:trHeight w:val="660" w:hRule="atLeast"/>
        </w:trP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Timeline and purpose (question)</w:t>
            </w:r>
            <w:r w:rsidDel="00000000" w:rsidR="00000000" w:rsidRPr="00000000">
              <w:rPr>
                <w:rtl w:val="0"/>
              </w:rPr>
            </w:r>
          </w:p>
        </w:tc>
        <w:tc>
          <w:tcPr/>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Learning Experiences</w:t>
            </w:r>
          </w:p>
          <w:p w:rsidR="00000000" w:rsidDel="00000000" w:rsidP="00000000" w:rsidRDefault="00000000" w:rsidRPr="00000000" w14:paraId="00000053">
            <w:pPr>
              <w:rPr>
                <w:rFonts w:ascii="Arial" w:cs="Arial" w:eastAsia="Arial" w:hAnsi="Arial"/>
                <w:i w:val="1"/>
              </w:rPr>
            </w:pPr>
            <w:r w:rsidDel="00000000" w:rsidR="00000000" w:rsidRPr="00000000">
              <w:rPr>
                <w:rtl w:val="0"/>
              </w:rPr>
            </w:r>
          </w:p>
        </w:tc>
      </w:tr>
      <w:tr>
        <w:trPr>
          <w:trHeight w:val="1400" w:hRule="atLeast"/>
        </w:trPr>
        <w:tc>
          <w:tcPr/>
          <w:p w:rsidR="00000000" w:rsidDel="00000000" w:rsidP="00000000" w:rsidRDefault="00000000" w:rsidRPr="00000000" w14:paraId="00000054">
            <w:pPr>
              <w:rPr>
                <w:rFonts w:ascii="Arial" w:cs="Arial" w:eastAsia="Arial" w:hAnsi="Arial"/>
                <w:b w:val="1"/>
                <w:i w:val="1"/>
              </w:rPr>
            </w:pPr>
            <w:r w:rsidDel="00000000" w:rsidR="00000000" w:rsidRPr="00000000">
              <w:rPr>
                <w:rFonts w:ascii="Arial" w:cs="Arial" w:eastAsia="Arial" w:hAnsi="Arial"/>
                <w:i w:val="1"/>
                <w:color w:val="ff0000"/>
                <w:rtl w:val="0"/>
              </w:rPr>
              <w:t xml:space="preserve">Learning intentions framed as questions make the learning explicit and invite the students into inquiry</w:t>
            </w:r>
            <w:r w:rsidDel="00000000" w:rsidR="00000000" w:rsidRPr="00000000">
              <w:rPr>
                <w:rtl w:val="0"/>
              </w:rPr>
            </w:r>
          </w:p>
        </w:tc>
        <w:tc>
          <w:tcPr/>
          <w:p w:rsidR="00000000" w:rsidDel="00000000" w:rsidP="00000000" w:rsidRDefault="00000000" w:rsidRPr="00000000" w14:paraId="00000055">
            <w:pPr>
              <w:rPr>
                <w:rFonts w:ascii="Arial" w:cs="Arial" w:eastAsia="Arial" w:hAnsi="Arial"/>
                <w:i w:val="1"/>
                <w:color w:val="ff0000"/>
              </w:rPr>
            </w:pPr>
            <w:r w:rsidDel="00000000" w:rsidR="00000000" w:rsidRPr="00000000">
              <w:rPr>
                <w:rFonts w:ascii="Arial" w:cs="Arial" w:eastAsia="Arial" w:hAnsi="Arial"/>
                <w:i w:val="1"/>
                <w:color w:val="ff0000"/>
                <w:rtl w:val="0"/>
              </w:rPr>
              <w:t xml:space="preserve">Things to consider during the Investigating Stage:</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Giving students choice in the aspect of the topic they would like to investigate further</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Differentiating the support given to students based on their capacity to investigate independently</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Creating criteria or rubrics with students so they know what is expected</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Structuring time to discuss or conference with students during their investigation to give guidance and feedback</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Allowing adequate time for students to conduct and share their investigation</w:t>
            </w:r>
          </w:p>
          <w:p w:rsidR="00000000" w:rsidDel="00000000" w:rsidP="00000000" w:rsidRDefault="00000000" w:rsidRPr="00000000" w14:paraId="0000005B">
            <w:pPr>
              <w:rPr>
                <w:rFonts w:ascii="Arial" w:cs="Arial" w:eastAsia="Arial" w:hAnsi="Arial"/>
                <w:i w:val="1"/>
                <w:color w:val="ff0000"/>
              </w:rPr>
            </w:pPr>
            <w:r w:rsidDel="00000000" w:rsidR="00000000" w:rsidRPr="00000000">
              <w:rPr>
                <w:rtl w:val="0"/>
              </w:rPr>
            </w:r>
          </w:p>
        </w:tc>
      </w:tr>
      <w:tr>
        <w:trPr>
          <w:trHeight w:val="1120" w:hRule="atLeast"/>
        </w:trPr>
        <w:tc>
          <w:tcPr>
            <w:gridSpan w:val="2"/>
          </w:tcPr>
          <w:p w:rsidR="00000000" w:rsidDel="00000000" w:rsidP="00000000" w:rsidRDefault="00000000" w:rsidRPr="00000000" w14:paraId="0000005C">
            <w:pPr>
              <w:pStyle w:val="Heading3"/>
              <w:jc w:val="center"/>
              <w:rPr>
                <w:b w:val="0"/>
                <w:i w:val="1"/>
                <w:sz w:val="24"/>
                <w:szCs w:val="24"/>
              </w:rPr>
            </w:pPr>
            <w:r w:rsidDel="00000000" w:rsidR="00000000" w:rsidRPr="00000000">
              <w:rPr>
                <w:sz w:val="40"/>
                <w:szCs w:val="40"/>
                <w:rtl w:val="0"/>
              </w:rPr>
              <w:t xml:space="preserve">APPLYING</w:t>
            </w:r>
            <w:r w:rsidDel="00000000" w:rsidR="00000000" w:rsidRPr="00000000">
              <w:rPr>
                <w:rtl w:val="0"/>
              </w:rPr>
            </w:r>
          </w:p>
          <w:p w:rsidR="00000000" w:rsidDel="00000000" w:rsidP="00000000" w:rsidRDefault="00000000" w:rsidRPr="00000000" w14:paraId="0000005D">
            <w:pPr>
              <w:pStyle w:val="Heading3"/>
              <w:jc w:val="center"/>
              <w:rPr>
                <w:b w:val="0"/>
                <w:i w:val="1"/>
                <w:sz w:val="24"/>
                <w:szCs w:val="24"/>
              </w:rPr>
            </w:pPr>
            <w:r w:rsidDel="00000000" w:rsidR="00000000" w:rsidRPr="00000000">
              <w:rPr>
                <w:b w:val="0"/>
                <w:i w:val="1"/>
                <w:sz w:val="24"/>
                <w:szCs w:val="24"/>
                <w:rtl w:val="0"/>
              </w:rPr>
              <w:t xml:space="preserve">Opportunities for students to reflect on what they know now, and put their learning into action in real-life contexts.</w:t>
            </w:r>
          </w:p>
        </w:tc>
      </w:tr>
      <w:tr>
        <w:trPr>
          <w:trHeight w:val="680" w:hRule="atLeast"/>
        </w:trPr>
        <w:tc>
          <w:tcPr/>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Timeline and purpose (question)</w:t>
            </w:r>
          </w:p>
          <w:p w:rsidR="00000000" w:rsidDel="00000000" w:rsidP="00000000" w:rsidRDefault="00000000" w:rsidRPr="00000000" w14:paraId="00000060">
            <w:pPr>
              <w:rPr>
                <w:rFonts w:ascii="Arial" w:cs="Arial" w:eastAsia="Arial" w:hAnsi="Arial"/>
                <w:b w:val="1"/>
              </w:rPr>
            </w:pPr>
            <w:r w:rsidDel="00000000" w:rsidR="00000000" w:rsidRPr="00000000">
              <w:rPr>
                <w:rFonts w:ascii="Arial" w:cs="Arial" w:eastAsia="Arial" w:hAnsi="Arial"/>
                <w:i w:val="1"/>
                <w:color w:val="ff0000"/>
                <w:rtl w:val="0"/>
              </w:rPr>
              <w:t xml:space="preserve">Learning intentions framed as questions make the learning explicit and invite the students into inquiry</w:t>
            </w: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tc>
        <w:tc>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Learning Experiences</w:t>
            </w:r>
          </w:p>
          <w:p w:rsidR="00000000" w:rsidDel="00000000" w:rsidP="00000000" w:rsidRDefault="00000000" w:rsidRPr="00000000" w14:paraId="00000063">
            <w:pPr>
              <w:rPr>
                <w:rFonts w:ascii="Arial" w:cs="Arial" w:eastAsia="Arial" w:hAnsi="Arial"/>
                <w:i w:val="1"/>
                <w:color w:val="ff0000"/>
              </w:rPr>
            </w:pPr>
            <w:r w:rsidDel="00000000" w:rsidR="00000000" w:rsidRPr="00000000">
              <w:rPr>
                <w:rFonts w:ascii="Arial" w:cs="Arial" w:eastAsia="Arial" w:hAnsi="Arial"/>
                <w:i w:val="1"/>
                <w:color w:val="ff0000"/>
                <w:rtl w:val="0"/>
              </w:rPr>
              <w:t xml:space="preserve">Things to consider during the Applying Stage:</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Not just the last week of term</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Actions need to be authentic and driven by the students not the teacher (unless it is an ‘action-learning project’ inquiry)</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Reflections should allow students to articulate their understandings now, and recognise the learning that has taken place for them</w:t>
            </w:r>
          </w:p>
        </w:tc>
      </w:tr>
      <w:tr>
        <w:trPr>
          <w:trHeight w:val="1400" w:hRule="atLeast"/>
        </w:trPr>
        <w:tc>
          <w:tcPr>
            <w:gridSpan w:val="2"/>
          </w:tcPr>
          <w:p w:rsidR="00000000" w:rsidDel="00000000" w:rsidP="00000000" w:rsidRDefault="00000000" w:rsidRPr="00000000" w14:paraId="00000067">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Evaluation of topic and recommendations:</w:t>
            </w:r>
          </w:p>
          <w:p w:rsidR="00000000" w:rsidDel="00000000" w:rsidP="00000000" w:rsidRDefault="00000000" w:rsidRPr="00000000" w14:paraId="00000068">
            <w:pPr>
              <w:rPr>
                <w:rFonts w:ascii="Arial" w:cs="Arial" w:eastAsia="Arial" w:hAnsi="Arial"/>
                <w:i w:val="1"/>
              </w:rPr>
            </w:pPr>
            <w:r w:rsidDel="00000000" w:rsidR="00000000" w:rsidRPr="00000000">
              <w:rPr>
                <w:rFonts w:ascii="Arial" w:cs="Arial" w:eastAsia="Arial" w:hAnsi="Arial"/>
                <w:i w:val="1"/>
                <w:rtl w:val="0"/>
              </w:rPr>
              <w:t xml:space="preserve">Teacher reflection on: what worked well, even better if….</w:t>
            </w:r>
          </w:p>
          <w:p w:rsidR="00000000" w:rsidDel="00000000" w:rsidP="00000000" w:rsidRDefault="00000000" w:rsidRPr="00000000" w14:paraId="00000069">
            <w:pPr>
              <w:rPr>
                <w:rFonts w:ascii="Arial" w:cs="Arial" w:eastAsia="Arial" w:hAnsi="Arial"/>
                <w:i w:val="1"/>
                <w:color w:val="ff0000"/>
              </w:rPr>
            </w:pPr>
            <w:r w:rsidDel="00000000" w:rsidR="00000000" w:rsidRPr="00000000">
              <w:rPr>
                <w:rFonts w:ascii="Arial" w:cs="Arial" w:eastAsia="Arial" w:hAnsi="Arial"/>
                <w:i w:val="1"/>
                <w:color w:val="ff0000"/>
                <w:rtl w:val="0"/>
              </w:rPr>
              <w:t xml:space="preserve">Honest and constructive evaluations inform teachers further planning. Consider the following elements:</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How well the students engaged with the inquiry</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The rigour of the inquiry (what was the deep learning- skills, dispositions and content)</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Strategies, resources and experiences that were particularly successful</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ff0000"/>
                <w:sz w:val="24"/>
                <w:szCs w:val="24"/>
                <w:u w:val="none"/>
                <w:shd w:fill="auto" w:val="clear"/>
                <w:vertAlign w:val="baseline"/>
              </w:rPr>
            </w:pPr>
            <w:r w:rsidDel="00000000" w:rsidR="00000000" w:rsidRPr="00000000">
              <w:rPr>
                <w:rFonts w:ascii="Arial" w:cs="Arial" w:eastAsia="Arial" w:hAnsi="Arial"/>
                <w:b w:val="0"/>
                <w:i w:val="1"/>
                <w:smallCaps w:val="0"/>
                <w:strike w:val="0"/>
                <w:color w:val="ff0000"/>
                <w:sz w:val="24"/>
                <w:szCs w:val="24"/>
                <w:u w:val="none"/>
                <w:shd w:fill="auto" w:val="clear"/>
                <w:vertAlign w:val="baseline"/>
                <w:rtl w:val="0"/>
              </w:rPr>
              <w:t xml:space="preserve">What you would change if you were to do this inquiry again</w:t>
            </w:r>
          </w:p>
          <w:p w:rsidR="00000000" w:rsidDel="00000000" w:rsidP="00000000" w:rsidRDefault="00000000" w:rsidRPr="00000000" w14:paraId="0000006E">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6F">
            <w:pPr>
              <w:rPr>
                <w:rFonts w:ascii="Arial" w:cs="Arial" w:eastAsia="Arial" w:hAnsi="Arial"/>
                <w:i w:val="1"/>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sectPr>
      <w:footerReference r:id="rId6" w:type="default"/>
      <w:pgSz w:h="16840" w:w="11900" w:orient="portrait"/>
      <w:pgMar w:bottom="1440" w:top="851"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Deborah Vietri 2017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rFonts w:ascii="Arial" w:cs="Arial" w:eastAsia="Arial" w:hAnsi="Arial"/>
      <w:b w:val="1"/>
      <w:sz w:val="32"/>
      <w:szCs w:val="32"/>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